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E91" w:rsidRPr="00EE578D" w:rsidRDefault="00C73E91" w:rsidP="00EE578D">
      <w:pPr>
        <w:jc w:val="right"/>
        <w:rPr>
          <w:sz w:val="16"/>
          <w:szCs w:val="16"/>
        </w:rPr>
      </w:pPr>
      <w:bookmarkStart w:id="0" w:name="sub_272"/>
      <w:r w:rsidRPr="00EE578D">
        <w:rPr>
          <w:sz w:val="16"/>
          <w:szCs w:val="16"/>
        </w:rPr>
        <w:t>Приложение к Решению</w:t>
      </w:r>
      <w:r w:rsidR="00EE578D">
        <w:rPr>
          <w:sz w:val="16"/>
          <w:szCs w:val="16"/>
        </w:rPr>
        <w:t xml:space="preserve"> </w:t>
      </w:r>
      <w:r w:rsidRPr="00EE578D">
        <w:rPr>
          <w:sz w:val="16"/>
          <w:szCs w:val="16"/>
        </w:rPr>
        <w:t>Совета народных депутатов</w:t>
      </w:r>
    </w:p>
    <w:p w:rsidR="00C73E91" w:rsidRPr="00EE578D" w:rsidRDefault="00C73E91" w:rsidP="00EE578D">
      <w:pPr>
        <w:jc w:val="right"/>
        <w:rPr>
          <w:sz w:val="16"/>
          <w:szCs w:val="16"/>
        </w:rPr>
      </w:pPr>
      <w:r w:rsidRPr="00EE578D">
        <w:rPr>
          <w:sz w:val="16"/>
          <w:szCs w:val="16"/>
        </w:rPr>
        <w:t xml:space="preserve"> муниципального образования «Город Майкоп»</w:t>
      </w:r>
    </w:p>
    <w:p w:rsidR="00C73E91" w:rsidRPr="00EE578D" w:rsidRDefault="00C73E91" w:rsidP="00C73E91">
      <w:pPr>
        <w:pStyle w:val="a3"/>
        <w:ind w:left="5812"/>
        <w:jc w:val="right"/>
        <w:rPr>
          <w:rFonts w:ascii="Times New Roman" w:hAnsi="Times New Roman" w:cs="Times New Roman"/>
          <w:sz w:val="16"/>
          <w:szCs w:val="16"/>
        </w:rPr>
      </w:pPr>
      <w:r w:rsidRPr="00EE578D">
        <w:rPr>
          <w:rFonts w:ascii="Times New Roman" w:hAnsi="Times New Roman" w:cs="Times New Roman"/>
          <w:sz w:val="16"/>
          <w:szCs w:val="16"/>
        </w:rPr>
        <w:t>от __________ № ______-</w:t>
      </w:r>
      <w:proofErr w:type="spellStart"/>
      <w:r w:rsidRPr="00EE578D">
        <w:rPr>
          <w:rFonts w:ascii="Times New Roman" w:hAnsi="Times New Roman" w:cs="Times New Roman"/>
          <w:sz w:val="16"/>
          <w:szCs w:val="16"/>
        </w:rPr>
        <w:t>рс</w:t>
      </w:r>
      <w:proofErr w:type="spellEnd"/>
    </w:p>
    <w:p w:rsidR="00C73E91" w:rsidRPr="00EE578D" w:rsidRDefault="00C73E91" w:rsidP="00C73E91">
      <w:pPr>
        <w:pStyle w:val="a3"/>
        <w:ind w:left="5812"/>
        <w:jc w:val="right"/>
        <w:rPr>
          <w:rFonts w:ascii="Times New Roman" w:hAnsi="Times New Roman" w:cs="Times New Roman"/>
          <w:sz w:val="16"/>
          <w:szCs w:val="16"/>
        </w:rPr>
      </w:pPr>
    </w:p>
    <w:p w:rsidR="00C73E91" w:rsidRPr="00EE578D" w:rsidRDefault="00C73E91" w:rsidP="00C73E91">
      <w:pPr>
        <w:pStyle w:val="a3"/>
        <w:ind w:left="5812"/>
        <w:jc w:val="right"/>
        <w:rPr>
          <w:rFonts w:ascii="Times New Roman" w:hAnsi="Times New Roman" w:cs="Times New Roman"/>
          <w:sz w:val="16"/>
          <w:szCs w:val="16"/>
        </w:rPr>
      </w:pPr>
      <w:r w:rsidRPr="00EE578D">
        <w:rPr>
          <w:b/>
          <w:sz w:val="16"/>
          <w:szCs w:val="16"/>
        </w:rPr>
        <w:t>«</w:t>
      </w:r>
      <w:r w:rsidRPr="00EE578D">
        <w:rPr>
          <w:rFonts w:ascii="Times New Roman" w:hAnsi="Times New Roman" w:cs="Times New Roman"/>
          <w:sz w:val="16"/>
          <w:szCs w:val="16"/>
        </w:rPr>
        <w:t>Приложение № 2</w:t>
      </w:r>
    </w:p>
    <w:p w:rsidR="00C73E91" w:rsidRPr="00EE578D" w:rsidRDefault="00C73E91" w:rsidP="00EE578D">
      <w:pPr>
        <w:pStyle w:val="a3"/>
        <w:ind w:left="5812" w:hanging="567"/>
        <w:jc w:val="right"/>
        <w:rPr>
          <w:rFonts w:ascii="Times New Roman" w:hAnsi="Times New Roman" w:cs="Times New Roman"/>
          <w:sz w:val="16"/>
          <w:szCs w:val="16"/>
        </w:rPr>
      </w:pPr>
      <w:r w:rsidRPr="00EE578D">
        <w:rPr>
          <w:rFonts w:ascii="Times New Roman" w:hAnsi="Times New Roman" w:cs="Times New Roman"/>
          <w:sz w:val="16"/>
          <w:szCs w:val="16"/>
        </w:rPr>
        <w:t>к Положению о муниципальном земельном контроле</w:t>
      </w:r>
    </w:p>
    <w:p w:rsidR="00C73E91" w:rsidRPr="0098048F" w:rsidRDefault="00C73E91" w:rsidP="00C73E91">
      <w:pPr>
        <w:pStyle w:val="a3"/>
        <w:ind w:firstLine="5103"/>
        <w:rPr>
          <w:rFonts w:ascii="Times New Roman" w:hAnsi="Times New Roman" w:cs="Times New Roman"/>
          <w:b/>
          <w:sz w:val="28"/>
          <w:szCs w:val="28"/>
        </w:rPr>
      </w:pPr>
    </w:p>
    <w:p w:rsidR="00C73E91" w:rsidRPr="0098048F" w:rsidRDefault="00C73E91" w:rsidP="00C73E91">
      <w:pPr>
        <w:pStyle w:val="a3"/>
        <w:jc w:val="center"/>
        <w:rPr>
          <w:rFonts w:ascii="Times New Roman" w:hAnsi="Times New Roman" w:cs="Times New Roman"/>
          <w:b/>
          <w:sz w:val="28"/>
          <w:szCs w:val="28"/>
        </w:rPr>
      </w:pPr>
      <w:r w:rsidRPr="0098048F">
        <w:rPr>
          <w:rFonts w:ascii="Times New Roman" w:hAnsi="Times New Roman" w:cs="Times New Roman"/>
          <w:b/>
          <w:sz w:val="28"/>
          <w:szCs w:val="28"/>
        </w:rPr>
        <w:t xml:space="preserve">Индикатор риска </w:t>
      </w:r>
      <w:r>
        <w:rPr>
          <w:rFonts w:ascii="Times New Roman" w:hAnsi="Times New Roman" w:cs="Times New Roman"/>
          <w:b/>
          <w:sz w:val="28"/>
          <w:szCs w:val="28"/>
        </w:rPr>
        <w:t>нарушения обязательных требований при осуществлении муниципального земельного контроля</w:t>
      </w:r>
    </w:p>
    <w:p w:rsidR="00C73E91" w:rsidRPr="0098048F" w:rsidRDefault="00C73E91" w:rsidP="00C73E91">
      <w:pPr>
        <w:pStyle w:val="a3"/>
        <w:rPr>
          <w:rFonts w:ascii="Times New Roman" w:hAnsi="Times New Roman" w:cs="Times New Roman"/>
          <w:sz w:val="28"/>
          <w:szCs w:val="28"/>
        </w:rPr>
      </w:pPr>
    </w:p>
    <w:bookmarkEnd w:id="0"/>
    <w:p w:rsidR="00C73E91" w:rsidRDefault="00EE578D" w:rsidP="00C73E9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1. </w:t>
      </w:r>
      <w:r w:rsidR="00C73E91" w:rsidRPr="006D208C">
        <w:rPr>
          <w:rFonts w:ascii="Times New Roman" w:hAnsi="Times New Roman" w:cs="Times New Roman"/>
          <w:sz w:val="28"/>
          <w:szCs w:val="28"/>
        </w:rPr>
        <w:t>Допущение контролируемым лицом установленного органом земельного надзора, муниципального земельного контроля, факта использования земельного участка, являющегося объектом контроля не по целевому назначению.</w:t>
      </w:r>
    </w:p>
    <w:p w:rsidR="00C73E91" w:rsidRPr="00C40984" w:rsidRDefault="00EE578D" w:rsidP="00C73E9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2. </w:t>
      </w:r>
      <w:r w:rsidR="00C73E91" w:rsidRPr="00C40984">
        <w:rPr>
          <w:rFonts w:ascii="Times New Roman" w:hAnsi="Times New Roman" w:cs="Times New Roman"/>
          <w:sz w:val="28"/>
          <w:szCs w:val="28"/>
        </w:rPr>
        <w:t>Допущение контролируемым лицом факта нарушения использования земельного участка, являющегося объектом контроля не по целевому назначению несмотря на установление  органом муниципального земельного контроля факта проведения профилактического мероприятия (в рамках программ профилактики муниципального земельного контроля на территории муниципального образования «Город Майкоп» за два предыдущих года) в отношении контролируемого лица на земельном участке являющемся объектом контроля.</w:t>
      </w:r>
    </w:p>
    <w:p w:rsidR="00C73E91" w:rsidRPr="00C40984" w:rsidRDefault="00EE578D" w:rsidP="00C73E9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3. </w:t>
      </w:r>
      <w:r w:rsidR="00C73E91" w:rsidRPr="00C40984">
        <w:rPr>
          <w:rFonts w:ascii="Times New Roman" w:hAnsi="Times New Roman" w:cs="Times New Roman"/>
          <w:sz w:val="28"/>
          <w:szCs w:val="28"/>
        </w:rPr>
        <w:t>Деятельность контролируемого лица повлекла вред (ущерб) охраняемым законом ценностям выраженный в количественных и (или) качественных неблагоприятных последствиях. При этом по значимости, деятельность контролируемого лица на землях сельскохозяйственного назначения с учетом целей, определенных статьей 78 Земельного кодекса Российской Федерации (для нужд сельского хозяйства), землях промышленности с учетом целей определенных статьи 87 Земельного кодекса Российской Федерации (для эксплуатации объектов промышленности) может быть учтена в качестве более значимого уровня риска, деятельность на землях населенных пунктов в качестве менее значимого уровня риска.</w:t>
      </w:r>
    </w:p>
    <w:p w:rsidR="00C73E91" w:rsidRPr="00C40984" w:rsidRDefault="00EE578D" w:rsidP="00C73E9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4. </w:t>
      </w:r>
      <w:r w:rsidR="00C73E91" w:rsidRPr="00C40984">
        <w:rPr>
          <w:rFonts w:ascii="Times New Roman" w:hAnsi="Times New Roman" w:cs="Times New Roman"/>
          <w:sz w:val="28"/>
          <w:szCs w:val="28"/>
        </w:rPr>
        <w:t>Допущение контролируемым лицом установленного органом земельного надзора, муниципального земельного контроля факта самовольного занятия земельного участка (его части).</w:t>
      </w:r>
    </w:p>
    <w:p w:rsidR="00C73E91" w:rsidRPr="00C40984" w:rsidRDefault="00EE578D" w:rsidP="00C73E9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5. </w:t>
      </w:r>
      <w:r w:rsidR="00C73E91" w:rsidRPr="00C40984">
        <w:rPr>
          <w:rFonts w:ascii="Times New Roman" w:hAnsi="Times New Roman" w:cs="Times New Roman"/>
          <w:sz w:val="28"/>
          <w:szCs w:val="28"/>
        </w:rPr>
        <w:t>Допущение контролируемым лицом факта самовольного занятия земельного участка (его части) несмотря на установление органом муниципального земельного контроля факта проведения мероприятий муниципального земельного контроля (в т.ч. в рамках программ профилактики муниципального земельного контроля на территории муниципального образования «Город Майкоп») в отношении контролируемого лица на земельном участке (его части) являющемся объектом контроля.</w:t>
      </w:r>
    </w:p>
    <w:p w:rsidR="00C73E91" w:rsidRPr="00C40984" w:rsidRDefault="00EE578D" w:rsidP="00EE578D">
      <w:pPr>
        <w:pStyle w:val="a3"/>
        <w:widowControl w:val="0"/>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6. </w:t>
      </w:r>
      <w:r w:rsidR="00C73E91" w:rsidRPr="00C40984">
        <w:rPr>
          <w:rFonts w:ascii="Times New Roman" w:hAnsi="Times New Roman" w:cs="Times New Roman"/>
          <w:sz w:val="28"/>
          <w:szCs w:val="28"/>
        </w:rPr>
        <w:t xml:space="preserve">Деятельность контролируемого лица повлекла вред (ущерб) охраняемым законом ценностям выраженный в количественных и (или) качественных неблагоприятных последствиях. При этом, по значимости с учетом объема потенциального вреда, самовольное занятие земельного участка (его части) капитальными объектами (зданиями, строениями, сооружениями), может быть учтено в качестве более значимого уровня риска, занятие земельного участка некапитальными объектами </w:t>
      </w:r>
      <w:r w:rsidR="00C73E91" w:rsidRPr="00C40984">
        <w:rPr>
          <w:rFonts w:ascii="Times New Roman" w:hAnsi="Times New Roman" w:cs="Times New Roman"/>
          <w:sz w:val="28"/>
          <w:szCs w:val="28"/>
        </w:rPr>
        <w:lastRenderedPageBreak/>
        <w:t>(нестационарными объектами) в качестве менее значимого уровня риска</w:t>
      </w:r>
    </w:p>
    <w:p w:rsidR="00C73E91" w:rsidRPr="00C40984" w:rsidRDefault="00EE578D" w:rsidP="00C73E9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7. </w:t>
      </w:r>
      <w:r w:rsidR="00C73E91" w:rsidRPr="00C40984">
        <w:rPr>
          <w:rFonts w:ascii="Times New Roman" w:hAnsi="Times New Roman" w:cs="Times New Roman"/>
          <w:sz w:val="28"/>
          <w:szCs w:val="28"/>
        </w:rPr>
        <w:t>Допущение контролируемым лицом установленного органом государственного земельного надзора, муниципального земельного контроля факта нарушения деятельности направленной на неиспользование земельного участка с учетом критериев определенных Постановлением Правительства РФ от 18 сентября 2020 г</w:t>
      </w:r>
      <w:r>
        <w:rPr>
          <w:rFonts w:ascii="Times New Roman" w:hAnsi="Times New Roman" w:cs="Times New Roman"/>
          <w:sz w:val="28"/>
          <w:szCs w:val="28"/>
        </w:rPr>
        <w:t>ода</w:t>
      </w:r>
      <w:r w:rsidR="00C73E91" w:rsidRPr="00C40984">
        <w:rPr>
          <w:rFonts w:ascii="Times New Roman" w:hAnsi="Times New Roman" w:cs="Times New Roman"/>
          <w:sz w:val="28"/>
          <w:szCs w:val="28"/>
        </w:rPr>
        <w:t xml:space="preserve"> № 1482 «О признаках неиспользования земельных участков из земель сельскохозяйственного назначения по целевому назначению или использования с нарушениями законодательства Российской Федерации» в течении трех и более лет подряд. </w:t>
      </w:r>
    </w:p>
    <w:p w:rsidR="00C73E91" w:rsidRPr="00C40984" w:rsidRDefault="00EE578D" w:rsidP="00C73E9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8. </w:t>
      </w:r>
      <w:r w:rsidR="00C73E91" w:rsidRPr="00C40984">
        <w:rPr>
          <w:rFonts w:ascii="Times New Roman" w:hAnsi="Times New Roman" w:cs="Times New Roman"/>
          <w:sz w:val="28"/>
          <w:szCs w:val="28"/>
        </w:rPr>
        <w:t xml:space="preserve">Деятельность контролируемого лица повлекла вред (ущерб) охраняемым законом ценностям выраженный в количественных и (или) качественных неблагоприятных последствиях. При этом, с учетом статьи </w:t>
      </w:r>
      <w:r>
        <w:rPr>
          <w:rFonts w:ascii="Times New Roman" w:hAnsi="Times New Roman" w:cs="Times New Roman"/>
          <w:sz w:val="28"/>
          <w:szCs w:val="28"/>
        </w:rPr>
        <w:t xml:space="preserve">  </w:t>
      </w:r>
      <w:bookmarkStart w:id="1" w:name="_GoBack"/>
      <w:bookmarkEnd w:id="1"/>
      <w:r w:rsidR="00C73E91" w:rsidRPr="00C40984">
        <w:rPr>
          <w:rFonts w:ascii="Times New Roman" w:hAnsi="Times New Roman" w:cs="Times New Roman"/>
          <w:sz w:val="28"/>
          <w:szCs w:val="28"/>
        </w:rPr>
        <w:t>79 Земельного кодекса Российской Федерации, несвоевременное и нецелевое использование сельскохозяйственных угодий в составе земель сельскохозяйственного назначения может быть учтено в качестве более значимого уровня риска, с учетом приоритета использовании, иные земли сельскохозяйственного назначения в качестве менее значимого уровня риска.</w:t>
      </w:r>
    </w:p>
    <w:p w:rsidR="00C73E91" w:rsidRPr="00C40984" w:rsidRDefault="00EE578D" w:rsidP="00C73E9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73E91">
        <w:rPr>
          <w:rFonts w:ascii="Times New Roman" w:hAnsi="Times New Roman" w:cs="Times New Roman"/>
          <w:sz w:val="28"/>
          <w:szCs w:val="28"/>
        </w:rPr>
        <w:t xml:space="preserve">9. </w:t>
      </w:r>
      <w:r w:rsidR="00C73E91" w:rsidRPr="00C40984">
        <w:rPr>
          <w:rFonts w:ascii="Times New Roman" w:hAnsi="Times New Roman" w:cs="Times New Roman"/>
          <w:sz w:val="28"/>
          <w:szCs w:val="28"/>
        </w:rPr>
        <w:t>Наличие на земельном участке сельскохозяйственного назначения специализированной техники, используемой для снятия и (или) перемещения плодородного слоя почвы, либо факт перемещения (разрытие) плодородного слоя почвы</w:t>
      </w:r>
      <w:r w:rsidR="00C73E91">
        <w:rPr>
          <w:rFonts w:ascii="Times New Roman" w:hAnsi="Times New Roman" w:cs="Times New Roman"/>
          <w:sz w:val="28"/>
          <w:szCs w:val="28"/>
        </w:rPr>
        <w:t>.»</w:t>
      </w:r>
    </w:p>
    <w:p w:rsidR="00C73E91" w:rsidRPr="004C234B" w:rsidRDefault="00C73E91" w:rsidP="00C73E91">
      <w:pPr>
        <w:jc w:val="both"/>
        <w:rPr>
          <w:sz w:val="27"/>
          <w:szCs w:val="27"/>
        </w:rPr>
      </w:pPr>
    </w:p>
    <w:p w:rsidR="00925BA1" w:rsidRDefault="00925BA1"/>
    <w:sectPr w:rsidR="00925BA1" w:rsidSect="00EE578D">
      <w:pgSz w:w="11906" w:h="16838"/>
      <w:pgMar w:top="567"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91"/>
    <w:rsid w:val="00925BA1"/>
    <w:rsid w:val="00AD491E"/>
    <w:rsid w:val="00C73E91"/>
    <w:rsid w:val="00EE5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EF3E"/>
  <w15:chartTrackingRefBased/>
  <w15:docId w15:val="{2F59499C-8442-42AC-8227-2960DE60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E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3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2026-03-12T11:27:00Z</dcterms:created>
  <dcterms:modified xsi:type="dcterms:W3CDTF">2026-03-12T11:27:00Z</dcterms:modified>
</cp:coreProperties>
</file>